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316" w:rsidRDefault="00156316" w:rsidP="00156316">
      <w:pPr>
        <w:spacing w:line="480" w:lineRule="auto"/>
        <w:rPr>
          <w:rFonts w:ascii="Times New Roman" w:hAnsi="Times New Roman" w:cs="Times New Roman"/>
          <w:sz w:val="24"/>
          <w:szCs w:val="24"/>
        </w:rPr>
      </w:pPr>
      <w:bookmarkStart w:id="0" w:name="_GoBack"/>
      <w:bookmarkEnd w:id="0"/>
    </w:p>
    <w:p w:rsidR="00156316" w:rsidRDefault="00156316" w:rsidP="00156316">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Consumer’s Behavior</w:t>
      </w:r>
    </w:p>
    <w:p w:rsidR="00156316" w:rsidRPr="00156316" w:rsidRDefault="00156316" w:rsidP="00156316">
      <w:pPr>
        <w:spacing w:line="480" w:lineRule="auto"/>
        <w:jc w:val="center"/>
        <w:rPr>
          <w:rFonts w:ascii="Times New Roman" w:hAnsi="Times New Roman" w:cs="Times New Roman"/>
          <w:sz w:val="24"/>
          <w:szCs w:val="24"/>
        </w:rPr>
      </w:pPr>
      <w:r w:rsidRPr="00156316">
        <w:rPr>
          <w:rFonts w:ascii="Times New Roman" w:hAnsi="Times New Roman" w:cs="Times New Roman"/>
          <w:sz w:val="24"/>
          <w:szCs w:val="24"/>
        </w:rPr>
        <w:t>Student’s name.</w:t>
      </w:r>
    </w:p>
    <w:p w:rsidR="00156316" w:rsidRPr="00156316" w:rsidRDefault="00156316" w:rsidP="00156316">
      <w:pPr>
        <w:spacing w:line="480" w:lineRule="auto"/>
        <w:jc w:val="center"/>
        <w:rPr>
          <w:rFonts w:ascii="Times New Roman" w:hAnsi="Times New Roman" w:cs="Times New Roman"/>
          <w:sz w:val="24"/>
          <w:szCs w:val="24"/>
        </w:rPr>
      </w:pPr>
      <w:r w:rsidRPr="00156316">
        <w:rPr>
          <w:rFonts w:ascii="Times New Roman" w:hAnsi="Times New Roman" w:cs="Times New Roman"/>
          <w:sz w:val="24"/>
          <w:szCs w:val="24"/>
        </w:rPr>
        <w:t>Institutional affiliation.</w:t>
      </w:r>
    </w:p>
    <w:p w:rsidR="00156316" w:rsidRPr="00156316" w:rsidRDefault="00156316" w:rsidP="00156316">
      <w:pPr>
        <w:spacing w:line="480" w:lineRule="auto"/>
        <w:jc w:val="center"/>
        <w:rPr>
          <w:rFonts w:ascii="Times New Roman" w:hAnsi="Times New Roman" w:cs="Times New Roman"/>
          <w:sz w:val="24"/>
          <w:szCs w:val="24"/>
        </w:rPr>
      </w:pPr>
      <w:r w:rsidRPr="00156316">
        <w:rPr>
          <w:rFonts w:ascii="Times New Roman" w:hAnsi="Times New Roman" w:cs="Times New Roman"/>
          <w:sz w:val="24"/>
          <w:szCs w:val="24"/>
        </w:rPr>
        <w:t>Course-name.</w:t>
      </w:r>
    </w:p>
    <w:p w:rsidR="00156316" w:rsidRPr="00156316" w:rsidRDefault="00156316" w:rsidP="00156316">
      <w:pPr>
        <w:spacing w:line="480" w:lineRule="auto"/>
        <w:jc w:val="center"/>
        <w:rPr>
          <w:rFonts w:ascii="Times New Roman" w:hAnsi="Times New Roman" w:cs="Times New Roman"/>
          <w:sz w:val="24"/>
          <w:szCs w:val="24"/>
        </w:rPr>
      </w:pPr>
      <w:r w:rsidRPr="00156316">
        <w:rPr>
          <w:rFonts w:ascii="Times New Roman" w:hAnsi="Times New Roman" w:cs="Times New Roman"/>
          <w:sz w:val="24"/>
          <w:szCs w:val="24"/>
        </w:rPr>
        <w:t>Course number.</w:t>
      </w:r>
    </w:p>
    <w:p w:rsidR="00156316" w:rsidRPr="00156316" w:rsidRDefault="00156316" w:rsidP="00156316">
      <w:pPr>
        <w:spacing w:line="480" w:lineRule="auto"/>
        <w:jc w:val="center"/>
        <w:rPr>
          <w:rFonts w:ascii="Times New Roman" w:hAnsi="Times New Roman" w:cs="Times New Roman"/>
          <w:sz w:val="24"/>
          <w:szCs w:val="24"/>
        </w:rPr>
      </w:pPr>
      <w:r w:rsidRPr="00156316">
        <w:rPr>
          <w:rFonts w:ascii="Times New Roman" w:hAnsi="Times New Roman" w:cs="Times New Roman"/>
          <w:sz w:val="24"/>
          <w:szCs w:val="24"/>
        </w:rPr>
        <w:t>Date of submission</w:t>
      </w: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Pr="00156316" w:rsidRDefault="00156316" w:rsidP="00156316">
      <w:pPr>
        <w:spacing w:line="480" w:lineRule="auto"/>
        <w:rPr>
          <w:rFonts w:ascii="Times New Roman" w:hAnsi="Times New Roman" w:cs="Times New Roman"/>
          <w:sz w:val="24"/>
          <w:szCs w:val="24"/>
        </w:rPr>
      </w:pPr>
      <w:r w:rsidRPr="00156316">
        <w:rPr>
          <w:rFonts w:ascii="Times New Roman" w:hAnsi="Times New Roman" w:cs="Times New Roman"/>
          <w:sz w:val="24"/>
          <w:szCs w:val="24"/>
        </w:rPr>
        <w:lastRenderedPageBreak/>
        <w:t>QUESTION 1</w:t>
      </w:r>
    </w:p>
    <w:p w:rsidR="00464FB2" w:rsidRPr="00156316" w:rsidRDefault="00E50379" w:rsidP="00156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50379">
        <w:rPr>
          <w:rFonts w:ascii="Times New Roman" w:hAnsi="Times New Roman" w:cs="Times New Roman"/>
          <w:sz w:val="24"/>
          <w:szCs w:val="24"/>
        </w:rPr>
        <w:t>Polacsek</w:t>
      </w:r>
      <w:r>
        <w:rPr>
          <w:rFonts w:ascii="Times New Roman" w:hAnsi="Times New Roman" w:cs="Times New Roman"/>
          <w:sz w:val="24"/>
          <w:szCs w:val="24"/>
        </w:rPr>
        <w:t xml:space="preserve"> et al, 2018</w:t>
      </w:r>
      <w:r w:rsidRPr="00E50379">
        <w:rPr>
          <w:rFonts w:ascii="Times New Roman" w:hAnsi="Times New Roman" w:cs="Times New Roman"/>
          <w:sz w:val="24"/>
          <w:szCs w:val="24"/>
        </w:rPr>
        <w:t xml:space="preserve"> </w:t>
      </w:r>
      <w:r>
        <w:rPr>
          <w:rFonts w:ascii="Times New Roman" w:hAnsi="Times New Roman" w:cs="Times New Roman"/>
          <w:sz w:val="24"/>
          <w:szCs w:val="24"/>
        </w:rPr>
        <w:t>b</w:t>
      </w:r>
      <w:r w:rsidR="00E27F49" w:rsidRPr="00156316">
        <w:rPr>
          <w:rFonts w:ascii="Times New Roman" w:hAnsi="Times New Roman" w:cs="Times New Roman"/>
          <w:sz w:val="24"/>
          <w:szCs w:val="24"/>
        </w:rPr>
        <w:t>lock declining tariffs, also referred to as tapered tariffs and the quantity discounts, are the conventional pricing policies applied for a wide range of consumer products, incorporating cable television service, residential electricity, telephone, amusement parks,  groceries, transport services, and many others. Under the analysis of indifference curves, they have</w:t>
      </w:r>
      <w:r w:rsidR="00A5552D" w:rsidRPr="00156316">
        <w:rPr>
          <w:rFonts w:ascii="Times New Roman" w:hAnsi="Times New Roman" w:cs="Times New Roman"/>
          <w:sz w:val="24"/>
          <w:szCs w:val="24"/>
        </w:rPr>
        <w:t xml:space="preserve"> various varying</w:t>
      </w:r>
      <w:r w:rsidR="00E27F49" w:rsidRPr="00156316">
        <w:rPr>
          <w:rFonts w:ascii="Times New Roman" w:hAnsi="Times New Roman" w:cs="Times New Roman"/>
          <w:sz w:val="24"/>
          <w:szCs w:val="24"/>
        </w:rPr>
        <w:t xml:space="preserve"> implications on the behavior of the consumer, which can demonstrate how a consumer may make choices among the available alternatives of quantity discount and tapered tariffs. </w:t>
      </w:r>
      <w:r w:rsidR="00ED4D5E" w:rsidRPr="00156316">
        <w:rPr>
          <w:rFonts w:ascii="Times New Roman" w:hAnsi="Times New Roman" w:cs="Times New Roman"/>
          <w:sz w:val="24"/>
          <w:szCs w:val="24"/>
        </w:rPr>
        <w:t>Quantity discounts are a representation of a widespread pricing practice applied by business to consumer companies and business to business organizations.</w:t>
      </w:r>
      <w:r w:rsidR="00E27F49" w:rsidRPr="00156316">
        <w:rPr>
          <w:rFonts w:ascii="Times New Roman" w:hAnsi="Times New Roman" w:cs="Times New Roman"/>
          <w:sz w:val="24"/>
          <w:szCs w:val="24"/>
        </w:rPr>
        <w:t>Their impacts on the consumer's behavior vary as we are going to discuss their contrast and comparison</w:t>
      </w:r>
      <w:r w:rsidR="00ED4D5E" w:rsidRPr="00156316">
        <w:rPr>
          <w:rFonts w:ascii="Times New Roman" w:hAnsi="Times New Roman" w:cs="Times New Roman"/>
          <w:sz w:val="24"/>
          <w:szCs w:val="24"/>
        </w:rPr>
        <w:t xml:space="preserve"> depending on the non-linear pricing</w:t>
      </w:r>
      <w:r w:rsidR="00E27F49" w:rsidRPr="00156316">
        <w:rPr>
          <w:rFonts w:ascii="Times New Roman" w:hAnsi="Times New Roman" w:cs="Times New Roman"/>
          <w:sz w:val="24"/>
          <w:szCs w:val="24"/>
        </w:rPr>
        <w:t>.</w:t>
      </w:r>
    </w:p>
    <w:p w:rsidR="00BD0C3F" w:rsidRPr="00156316" w:rsidRDefault="00E27F49" w:rsidP="00156316">
      <w:pPr>
        <w:spacing w:line="480" w:lineRule="auto"/>
        <w:rPr>
          <w:rFonts w:ascii="Times New Roman" w:hAnsi="Times New Roman" w:cs="Times New Roman"/>
          <w:sz w:val="24"/>
          <w:szCs w:val="24"/>
        </w:rPr>
      </w:pPr>
      <w:r w:rsidRPr="00156316">
        <w:rPr>
          <w:rFonts w:ascii="Times New Roman" w:hAnsi="Times New Roman" w:cs="Times New Roman"/>
          <w:sz w:val="24"/>
          <w:szCs w:val="24"/>
        </w:rPr>
        <w:t xml:space="preserve"> </w:t>
      </w:r>
      <w:r w:rsidR="00156316">
        <w:rPr>
          <w:rFonts w:ascii="Times New Roman" w:hAnsi="Times New Roman" w:cs="Times New Roman"/>
          <w:sz w:val="24"/>
          <w:szCs w:val="24"/>
        </w:rPr>
        <w:tab/>
      </w:r>
      <w:r w:rsidRPr="00156316">
        <w:rPr>
          <w:rFonts w:ascii="Times New Roman" w:hAnsi="Times New Roman" w:cs="Times New Roman"/>
          <w:sz w:val="24"/>
          <w:szCs w:val="24"/>
        </w:rPr>
        <w:t>One crucial a</w:t>
      </w:r>
      <w:r w:rsidR="00CD5CBA" w:rsidRPr="00156316">
        <w:rPr>
          <w:rFonts w:ascii="Times New Roman" w:hAnsi="Times New Roman" w:cs="Times New Roman"/>
          <w:sz w:val="24"/>
          <w:szCs w:val="24"/>
        </w:rPr>
        <w:t xml:space="preserve">spect of quantity discount pricing is the per-unit or the marginal price decline, which a higher quantity purchased. In contrast, </w:t>
      </w:r>
      <w:r w:rsidR="00464FB2" w:rsidRPr="00156316">
        <w:rPr>
          <w:rFonts w:ascii="Times New Roman" w:hAnsi="Times New Roman" w:cs="Times New Roman"/>
          <w:sz w:val="24"/>
          <w:szCs w:val="24"/>
        </w:rPr>
        <w:t xml:space="preserve">Block pricing </w:t>
      </w:r>
      <w:r w:rsidR="0014449C" w:rsidRPr="00156316">
        <w:rPr>
          <w:rFonts w:ascii="Times New Roman" w:hAnsi="Times New Roman" w:cs="Times New Roman"/>
          <w:sz w:val="24"/>
          <w:szCs w:val="24"/>
        </w:rPr>
        <w:t>is often applied in regulated industries to fulfill a wide range of objectives that incorporate both the supply and demand sides. An i</w:t>
      </w:r>
      <w:r w:rsidR="00A5552D" w:rsidRPr="00156316">
        <w:rPr>
          <w:rFonts w:ascii="Times New Roman" w:hAnsi="Times New Roman" w:cs="Times New Roman"/>
          <w:sz w:val="24"/>
          <w:szCs w:val="24"/>
        </w:rPr>
        <w:t>n</w:t>
      </w:r>
      <w:r w:rsidR="0014449C" w:rsidRPr="00156316">
        <w:rPr>
          <w:rFonts w:ascii="Times New Roman" w:hAnsi="Times New Roman" w:cs="Times New Roman"/>
          <w:sz w:val="24"/>
          <w:szCs w:val="24"/>
        </w:rPr>
        <w:t>crease in block pricing is said to raise the supply costs and, in turn, encourage conversation</w:t>
      </w:r>
      <w:r w:rsidR="00A5552D" w:rsidRPr="00156316">
        <w:rPr>
          <w:rFonts w:ascii="Times New Roman" w:hAnsi="Times New Roman" w:cs="Times New Roman"/>
          <w:sz w:val="24"/>
          <w:szCs w:val="24"/>
        </w:rPr>
        <w:t xml:space="preserve"> from the fact that the higher the consumption block, the more the consumer will par. But due to the unwillingness of the consumers to pay more for the utility, the consumption level gradually decreases. Considering the quantity discount demand, the higher the consumption level means that, the more the discount, and since the consumers are more willing to consume more when paying less for it, they will develop a behavior of consuming more to get a higher discount and vice-versa</w:t>
      </w:r>
      <w:r w:rsidR="0014449C" w:rsidRPr="00156316">
        <w:rPr>
          <w:rFonts w:ascii="Times New Roman" w:hAnsi="Times New Roman" w:cs="Times New Roman"/>
          <w:sz w:val="24"/>
          <w:szCs w:val="24"/>
        </w:rPr>
        <w:t>.</w:t>
      </w:r>
      <w:r w:rsidR="008E2E21" w:rsidRPr="00156316">
        <w:rPr>
          <w:rFonts w:ascii="Times New Roman" w:hAnsi="Times New Roman" w:cs="Times New Roman"/>
          <w:sz w:val="24"/>
          <w:szCs w:val="24"/>
        </w:rPr>
        <w:t xml:space="preserve">  </w:t>
      </w:r>
      <w:r w:rsidR="006B6C86" w:rsidRPr="00156316">
        <w:rPr>
          <w:rFonts w:ascii="Times New Roman" w:hAnsi="Times New Roman" w:cs="Times New Roman"/>
          <w:sz w:val="24"/>
          <w:szCs w:val="24"/>
        </w:rPr>
        <w:t>From a demand view, the notion of quantity discounts is often a consumer's marginal willingness to pay decreases with quantity increasing</w:t>
      </w:r>
      <w:r w:rsidR="00E50379" w:rsidRPr="00E50379">
        <w:rPr>
          <w:rFonts w:ascii="Times New Roman" w:hAnsi="Times New Roman" w:cs="Times New Roman"/>
          <w:sz w:val="24"/>
          <w:szCs w:val="24"/>
        </w:rPr>
        <w:t xml:space="preserve"> </w:t>
      </w:r>
      <w:r w:rsidR="00E50379">
        <w:rPr>
          <w:rFonts w:ascii="Times New Roman" w:hAnsi="Times New Roman" w:cs="Times New Roman"/>
          <w:sz w:val="24"/>
          <w:szCs w:val="24"/>
        </w:rPr>
        <w:t>(</w:t>
      </w:r>
      <w:r w:rsidR="00E50379" w:rsidRPr="00E50379">
        <w:rPr>
          <w:rFonts w:ascii="Times New Roman" w:hAnsi="Times New Roman" w:cs="Times New Roman"/>
          <w:sz w:val="24"/>
          <w:szCs w:val="24"/>
        </w:rPr>
        <w:t>Polacsek et al, 2018</w:t>
      </w:r>
      <w:r w:rsidR="00E50379">
        <w:rPr>
          <w:rFonts w:ascii="Times New Roman" w:hAnsi="Times New Roman" w:cs="Times New Roman"/>
          <w:sz w:val="24"/>
          <w:szCs w:val="24"/>
        </w:rPr>
        <w:t>)</w:t>
      </w:r>
      <w:r w:rsidR="006B6C86" w:rsidRPr="00156316">
        <w:rPr>
          <w:rFonts w:ascii="Times New Roman" w:hAnsi="Times New Roman" w:cs="Times New Roman"/>
          <w:sz w:val="24"/>
          <w:szCs w:val="24"/>
        </w:rPr>
        <w:t xml:space="preserve">. In this regard, a pricing structure that mirrors consumers' willingness to pay is more </w:t>
      </w:r>
      <w:r w:rsidR="006B6C86" w:rsidRPr="00156316">
        <w:rPr>
          <w:rFonts w:ascii="Times New Roman" w:hAnsi="Times New Roman" w:cs="Times New Roman"/>
          <w:sz w:val="24"/>
          <w:szCs w:val="24"/>
        </w:rPr>
        <w:lastRenderedPageBreak/>
        <w:t>profit</w:t>
      </w:r>
      <w:r w:rsidR="00A5552D" w:rsidRPr="00156316">
        <w:rPr>
          <w:rFonts w:ascii="Times New Roman" w:hAnsi="Times New Roman" w:cs="Times New Roman"/>
          <w:sz w:val="24"/>
          <w:szCs w:val="24"/>
        </w:rPr>
        <w:t>able to the industry</w:t>
      </w:r>
      <w:r w:rsidRPr="00156316">
        <w:rPr>
          <w:rFonts w:ascii="Times New Roman" w:hAnsi="Times New Roman" w:cs="Times New Roman"/>
          <w:sz w:val="24"/>
          <w:szCs w:val="24"/>
        </w:rPr>
        <w:t>. Conversely</w:t>
      </w:r>
      <w:r w:rsidR="00500CCF" w:rsidRPr="00156316">
        <w:rPr>
          <w:rFonts w:ascii="Times New Roman" w:hAnsi="Times New Roman" w:cs="Times New Roman"/>
          <w:sz w:val="24"/>
          <w:szCs w:val="24"/>
        </w:rPr>
        <w:t xml:space="preserve">, the declining block tariff gives room for recovery if the height of the blocks is designed well. Still, when comparing to the quantity discount, the price varies hence no cost recovery.  </w:t>
      </w:r>
    </w:p>
    <w:p w:rsidR="00CC787D"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The block tariffs also encourage consumers to consume more as individuals do not pay according to their consumption</w:t>
      </w:r>
      <w:r w:rsidR="00ED4D5E" w:rsidRPr="00156316">
        <w:rPr>
          <w:rFonts w:ascii="Times New Roman" w:hAnsi="Times New Roman" w:cs="Times New Roman"/>
          <w:sz w:val="24"/>
          <w:szCs w:val="24"/>
        </w:rPr>
        <w:t xml:space="preserve"> but rather according to the consumption block and the </w:t>
      </w:r>
      <w:r w:rsidR="00DF20B9" w:rsidRPr="00156316">
        <w:rPr>
          <w:rFonts w:ascii="Times New Roman" w:hAnsi="Times New Roman" w:cs="Times New Roman"/>
          <w:sz w:val="24"/>
          <w:szCs w:val="24"/>
        </w:rPr>
        <w:t>higher,</w:t>
      </w:r>
      <w:r w:rsidR="00ED4D5E" w:rsidRPr="00156316">
        <w:rPr>
          <w:rFonts w:ascii="Times New Roman" w:hAnsi="Times New Roman" w:cs="Times New Roman"/>
          <w:sz w:val="24"/>
          <w:szCs w:val="24"/>
        </w:rPr>
        <w:t xml:space="preserve"> it is, the less the consumer will </w:t>
      </w:r>
      <w:r w:rsidR="00DF20B9" w:rsidRPr="00156316">
        <w:rPr>
          <w:rFonts w:ascii="Times New Roman" w:hAnsi="Times New Roman" w:cs="Times New Roman"/>
          <w:sz w:val="24"/>
          <w:szCs w:val="24"/>
        </w:rPr>
        <w:t>pay. From</w:t>
      </w:r>
      <w:r w:rsidR="00CD5CBA" w:rsidRPr="00156316">
        <w:rPr>
          <w:rFonts w:ascii="Times New Roman" w:hAnsi="Times New Roman" w:cs="Times New Roman"/>
          <w:sz w:val="24"/>
          <w:szCs w:val="24"/>
        </w:rPr>
        <w:t xml:space="preserve"> the analysis of indifference curves, the marginal willingness to pay function shows the maximum price an individual ready and able to pay for the product. From the consumer surplus model, the estimates of the parameter provide the indifference reservation cost that ensures an individual </w:t>
      </w:r>
      <w:r w:rsidR="00BD0C3F" w:rsidRPr="00156316">
        <w:rPr>
          <w:rFonts w:ascii="Times New Roman" w:hAnsi="Times New Roman" w:cs="Times New Roman"/>
          <w:sz w:val="24"/>
          <w:szCs w:val="24"/>
        </w:rPr>
        <w:t>indifferent between purchasing and not purchasing a particular product in the quantity discount scheme. The setting can also be used in the declining block tariff as it also derives the consumer's behavior in the purchasing power of a product</w:t>
      </w:r>
      <w:r w:rsidR="00E50379" w:rsidRPr="00E50379">
        <w:rPr>
          <w:rFonts w:ascii="Times New Roman" w:hAnsi="Times New Roman" w:cs="Times New Roman"/>
          <w:sz w:val="24"/>
          <w:szCs w:val="24"/>
        </w:rPr>
        <w:t xml:space="preserve"> </w:t>
      </w:r>
      <w:r w:rsidR="00E50379">
        <w:rPr>
          <w:rFonts w:ascii="Times New Roman" w:hAnsi="Times New Roman" w:cs="Times New Roman"/>
          <w:sz w:val="24"/>
          <w:szCs w:val="24"/>
        </w:rPr>
        <w:t>(</w:t>
      </w:r>
      <w:r w:rsidR="00E50379" w:rsidRPr="00E50379">
        <w:rPr>
          <w:rFonts w:ascii="Times New Roman" w:hAnsi="Times New Roman" w:cs="Times New Roman"/>
          <w:sz w:val="24"/>
          <w:szCs w:val="24"/>
        </w:rPr>
        <w:t>Patey</w:t>
      </w:r>
      <w:r w:rsidR="00E50379">
        <w:rPr>
          <w:rFonts w:ascii="Times New Roman" w:hAnsi="Times New Roman" w:cs="Times New Roman"/>
          <w:sz w:val="24"/>
          <w:szCs w:val="24"/>
        </w:rPr>
        <w:t xml:space="preserve"> et al, 2018)</w:t>
      </w:r>
      <w:r w:rsidR="00BD0C3F" w:rsidRPr="00156316">
        <w:rPr>
          <w:rFonts w:ascii="Times New Roman" w:hAnsi="Times New Roman" w:cs="Times New Roman"/>
          <w:sz w:val="24"/>
          <w:szCs w:val="24"/>
        </w:rPr>
        <w:t>.</w:t>
      </w:r>
    </w:p>
    <w:p w:rsidR="002B2A2F"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 xml:space="preserve">For example, in a real-world case, tariff setting varies widely. In the consumption of water, block tariffs charges are volumetric. The notion for setting </w:t>
      </w:r>
      <w:r w:rsidR="00BC77D5" w:rsidRPr="00156316">
        <w:rPr>
          <w:rFonts w:ascii="Times New Roman" w:hAnsi="Times New Roman" w:cs="Times New Roman"/>
          <w:sz w:val="24"/>
          <w:szCs w:val="24"/>
        </w:rPr>
        <w:t xml:space="preserve">the volumetric charge is that individuals have a metered connection to the services. The cost is set, for example, per unit of water, used and does not change for certain consumption quantity. With the declining block tariffs, the initial block is high and decreases with an increase in consumption volume. In a real sense, consumers' behavior for the consumption of water will increase as they are willing to pay less and consume more. This implies that well-structured declining block tariffs give room for recovery of costs by utilities. However, consumers with low consumption levels are penalized and also </w:t>
      </w:r>
      <w:r w:rsidRPr="00156316">
        <w:rPr>
          <w:rFonts w:ascii="Times New Roman" w:hAnsi="Times New Roman" w:cs="Times New Roman"/>
          <w:sz w:val="24"/>
          <w:szCs w:val="24"/>
        </w:rPr>
        <w:t>provide a disincentive in the reduction of water wastage.</w:t>
      </w:r>
    </w:p>
    <w:p w:rsidR="002B2A2F"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lastRenderedPageBreak/>
        <w:t>On the other hand, the quantity discount scheme does not penalize consumers with low levels of consumption but instead rewards those whose use is high. This means that the more an individual's marginal propensity to consume is high, the higher the consumption and ends up paying less for the extra expenditure. In this case, consumers will be exempted from costs on a particular set consumption level.</w:t>
      </w:r>
      <w:r w:rsidR="00BD0C3F" w:rsidRPr="00156316">
        <w:rPr>
          <w:rFonts w:ascii="Times New Roman" w:hAnsi="Times New Roman" w:cs="Times New Roman"/>
          <w:sz w:val="24"/>
          <w:szCs w:val="24"/>
        </w:rPr>
        <w:t xml:space="preserve"> In conclusion, the declining block tariffs, together with the quantity discount scheme, dramatically influence consumers' behavior in determining whether or not to purchase certain products depending on their pricing. </w:t>
      </w:r>
    </w:p>
    <w:p w:rsidR="00500CCF" w:rsidRPr="00156316" w:rsidRDefault="00E27F49" w:rsidP="00156316">
      <w:pPr>
        <w:spacing w:line="480" w:lineRule="auto"/>
        <w:rPr>
          <w:rFonts w:ascii="Times New Roman" w:hAnsi="Times New Roman" w:cs="Times New Roman"/>
          <w:sz w:val="24"/>
          <w:szCs w:val="24"/>
        </w:rPr>
      </w:pPr>
      <w:r w:rsidRPr="00156316">
        <w:rPr>
          <w:rFonts w:ascii="Times New Roman" w:hAnsi="Times New Roman" w:cs="Times New Roman"/>
          <w:sz w:val="24"/>
          <w:szCs w:val="24"/>
        </w:rPr>
        <w:t xml:space="preserve"> </w:t>
      </w:r>
    </w:p>
    <w:p w:rsidR="00D3121F" w:rsidRPr="00156316" w:rsidRDefault="00156316" w:rsidP="00156316">
      <w:pPr>
        <w:spacing w:line="480" w:lineRule="auto"/>
        <w:rPr>
          <w:rFonts w:ascii="Times New Roman" w:hAnsi="Times New Roman" w:cs="Times New Roman"/>
          <w:sz w:val="24"/>
          <w:szCs w:val="24"/>
        </w:rPr>
      </w:pPr>
      <w:r w:rsidRPr="00156316">
        <w:rPr>
          <w:rFonts w:ascii="Times New Roman" w:hAnsi="Times New Roman" w:cs="Times New Roman"/>
          <w:sz w:val="24"/>
          <w:szCs w:val="24"/>
        </w:rPr>
        <w:t>QUESTION 2</w:t>
      </w:r>
    </w:p>
    <w:p w:rsidR="004644AD" w:rsidRPr="00156316" w:rsidRDefault="00E27F49" w:rsidP="00156316">
      <w:pPr>
        <w:spacing w:line="480" w:lineRule="auto"/>
        <w:rPr>
          <w:rFonts w:ascii="Times New Roman" w:hAnsi="Times New Roman" w:cs="Times New Roman"/>
          <w:sz w:val="24"/>
          <w:szCs w:val="24"/>
        </w:rPr>
      </w:pPr>
      <w:r w:rsidRPr="00156316">
        <w:rPr>
          <w:rFonts w:ascii="Times New Roman" w:hAnsi="Times New Roman" w:cs="Times New Roman"/>
          <w:sz w:val="24"/>
          <w:szCs w:val="24"/>
        </w:rPr>
        <w:t xml:space="preserve"> </w:t>
      </w:r>
      <w:r w:rsidR="00156316">
        <w:rPr>
          <w:rFonts w:ascii="Times New Roman" w:hAnsi="Times New Roman" w:cs="Times New Roman"/>
          <w:sz w:val="24"/>
          <w:szCs w:val="24"/>
        </w:rPr>
        <w:tab/>
      </w:r>
      <w:r w:rsidR="00E50379">
        <w:rPr>
          <w:rFonts w:ascii="Times New Roman" w:hAnsi="Times New Roman" w:cs="Times New Roman"/>
          <w:sz w:val="24"/>
          <w:szCs w:val="24"/>
        </w:rPr>
        <w:t xml:space="preserve">According </w:t>
      </w:r>
      <w:r w:rsidR="00DF20B9">
        <w:rPr>
          <w:rFonts w:ascii="Times New Roman" w:hAnsi="Times New Roman" w:cs="Times New Roman"/>
          <w:sz w:val="24"/>
          <w:szCs w:val="24"/>
        </w:rPr>
        <w:t xml:space="preserve">to </w:t>
      </w:r>
      <w:r w:rsidR="00DF20B9" w:rsidRPr="00E50379">
        <w:rPr>
          <w:rFonts w:ascii="Times New Roman" w:hAnsi="Times New Roman" w:cs="Times New Roman"/>
          <w:sz w:val="24"/>
          <w:szCs w:val="24"/>
        </w:rPr>
        <w:t>Rodda</w:t>
      </w:r>
      <w:r w:rsidR="00E50379">
        <w:rPr>
          <w:rFonts w:ascii="Times New Roman" w:hAnsi="Times New Roman" w:cs="Times New Roman"/>
          <w:sz w:val="24"/>
          <w:szCs w:val="24"/>
        </w:rPr>
        <w:t xml:space="preserve"> et al, </w:t>
      </w:r>
      <w:r w:rsidR="00DF20B9">
        <w:rPr>
          <w:rFonts w:ascii="Times New Roman" w:hAnsi="Times New Roman" w:cs="Times New Roman"/>
          <w:sz w:val="24"/>
          <w:szCs w:val="24"/>
        </w:rPr>
        <w:t xml:space="preserve">(2020) </w:t>
      </w:r>
      <w:r w:rsidR="00DF20B9" w:rsidRPr="00E50379">
        <w:rPr>
          <w:rFonts w:ascii="Times New Roman" w:hAnsi="Times New Roman" w:cs="Times New Roman"/>
          <w:sz w:val="24"/>
          <w:szCs w:val="24"/>
        </w:rPr>
        <w:t>the</w:t>
      </w:r>
      <w:r w:rsidR="00D3121F" w:rsidRPr="00156316">
        <w:rPr>
          <w:rFonts w:ascii="Times New Roman" w:hAnsi="Times New Roman" w:cs="Times New Roman"/>
          <w:sz w:val="24"/>
          <w:szCs w:val="24"/>
        </w:rPr>
        <w:t xml:space="preserve"> theory of consumer choice relates preferences to consumer demand curves and consumption expenditure. According to the law of demand, the rate of consumption declines with a rise in the commodity price even if the customer is compensated momentarily with the effect of the high cost. This is referred to as substitution effect, which in many cases is not enough to predict the response of consumers to a decline in interest rates on its own but requires other forces. An increase in the price of a product results in customers substituting the product with other alternatives. For example, an increase in the amount of tea will </w:t>
      </w:r>
      <w:r w:rsidR="00722FFA" w:rsidRPr="00156316">
        <w:rPr>
          <w:rFonts w:ascii="Times New Roman" w:hAnsi="Times New Roman" w:cs="Times New Roman"/>
          <w:sz w:val="24"/>
          <w:szCs w:val="24"/>
        </w:rPr>
        <w:t xml:space="preserve">influence the customers to replace tea with coffee, which is an alternative, and its price is still constant. In cases where there is no compensation for the price increase; therefore, a decline will be experienced in the overall purchasing power since the price leads to a further </w:t>
      </w:r>
      <w:r w:rsidRPr="00156316">
        <w:rPr>
          <w:rFonts w:ascii="Times New Roman" w:hAnsi="Times New Roman" w:cs="Times New Roman"/>
          <w:sz w:val="24"/>
          <w:szCs w:val="24"/>
        </w:rPr>
        <w:t>reduction in the quantity demand.</w:t>
      </w:r>
    </w:p>
    <w:p w:rsidR="004644AD"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Additionally, the demand for certain products increases as the consumer's wealth increases, influencing the interest rates negatively, hence leading to a substitution effect.</w:t>
      </w:r>
      <w:r w:rsidR="00F13B5E" w:rsidRPr="00156316">
        <w:rPr>
          <w:rFonts w:ascii="Times New Roman" w:hAnsi="Times New Roman" w:cs="Times New Roman"/>
          <w:sz w:val="24"/>
          <w:szCs w:val="24"/>
        </w:rPr>
        <w:t xml:space="preserve"> Besides </w:t>
      </w:r>
      <w:r w:rsidR="00F13B5E" w:rsidRPr="00156316">
        <w:rPr>
          <w:rFonts w:ascii="Times New Roman" w:hAnsi="Times New Roman" w:cs="Times New Roman"/>
          <w:sz w:val="24"/>
          <w:szCs w:val="24"/>
        </w:rPr>
        <w:lastRenderedPageBreak/>
        <w:t>this, individual decision making also plays a critical role. More extensively, the theory assumes that an individual decides if his preferences are transitive and complete.</w:t>
      </w:r>
      <w:r w:rsidR="0090100D" w:rsidRPr="00156316">
        <w:rPr>
          <w:rFonts w:ascii="Times New Roman" w:hAnsi="Times New Roman" w:cs="Times New Roman"/>
          <w:sz w:val="24"/>
          <w:szCs w:val="24"/>
        </w:rPr>
        <w:t xml:space="preserve"> Besides, a rise in interest rates will result in a consumer consuming less today and more tomorrow, and vice versa, since the substitution effect costs him more when consuming today as compared to tomorrow. This is a result of higher opportunity costs concerning foregone interest</w:t>
      </w:r>
      <w:r w:rsidR="00756EC3" w:rsidRPr="00156316">
        <w:rPr>
          <w:rFonts w:ascii="Times New Roman" w:hAnsi="Times New Roman" w:cs="Times New Roman"/>
          <w:sz w:val="24"/>
          <w:szCs w:val="24"/>
        </w:rPr>
        <w:t>. Therefore the only reason the consumer will change his consumption is if he feels better with the change</w:t>
      </w:r>
      <w:r w:rsidR="0090100D" w:rsidRPr="00156316">
        <w:rPr>
          <w:rFonts w:ascii="Times New Roman" w:hAnsi="Times New Roman" w:cs="Times New Roman"/>
          <w:sz w:val="24"/>
          <w:szCs w:val="24"/>
        </w:rPr>
        <w:t>. This implies that the substitution effect alone cannot predict the consumer’s response to a fall in interest rates as it also requires other facto</w:t>
      </w:r>
      <w:r w:rsidR="00E50379">
        <w:rPr>
          <w:rFonts w:ascii="Times New Roman" w:hAnsi="Times New Roman" w:cs="Times New Roman"/>
          <w:sz w:val="24"/>
          <w:szCs w:val="24"/>
        </w:rPr>
        <w:t xml:space="preserve">rs such as the opportunity cost (Watabe, </w:t>
      </w:r>
      <w:r w:rsidR="00E50379" w:rsidRPr="00E50379">
        <w:rPr>
          <w:rFonts w:ascii="Times New Roman" w:hAnsi="Times New Roman" w:cs="Times New Roman"/>
          <w:sz w:val="24"/>
          <w:szCs w:val="24"/>
        </w:rPr>
        <w:t>2019).</w:t>
      </w:r>
    </w:p>
    <w:p w:rsidR="000B11A4"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On the other hand, the substitution effect is a decline in sales of a commodity and can be attributed to the individual's preferring to cheaper alternatives when the prices increase</w:t>
      </w:r>
      <w:r w:rsidR="00642252" w:rsidRPr="00156316">
        <w:rPr>
          <w:rFonts w:ascii="Times New Roman" w:hAnsi="Times New Roman" w:cs="Times New Roman"/>
          <w:sz w:val="24"/>
          <w:szCs w:val="24"/>
        </w:rPr>
        <w:t xml:space="preserve">. The substitution effect is a reflection of frugality. This means that if a particular type raises its price, its interest rates will automatically fall, as some consumers will prefer cheaper alternatives. For example, if the number of beef increases, many consumers will prefer consuming chicken hence its interest rates falling. However, some consumers may decide to forego the consumption of other products to continue consuming beef and an increase in their incomes, consequently not feeling the change in the price of meat. In general, if the price of a commodity increases but the consumer's disposable income rises, the substitution effect does not play a role in any way. This is </w:t>
      </w:r>
      <w:r w:rsidRPr="00156316">
        <w:rPr>
          <w:rFonts w:ascii="Times New Roman" w:hAnsi="Times New Roman" w:cs="Times New Roman"/>
          <w:sz w:val="24"/>
          <w:szCs w:val="24"/>
        </w:rPr>
        <w:t>due to the rise in the consumer's spending power and the willingness to buy the commodity.</w:t>
      </w:r>
    </w:p>
    <w:p w:rsidR="00D803E3" w:rsidRPr="00156316"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 xml:space="preserve">The substitution effect only kicks in if the commodity's price rises, but the consumer's spending power remains constant. In consideration of inferior goods, the substitution effect may fail to be seen when there is an increase in the price of these products. An increase in the number of substandard products may result to a rise in the sales volume since </w:t>
      </w:r>
      <w:r w:rsidR="00B072A5" w:rsidRPr="00156316">
        <w:rPr>
          <w:rFonts w:ascii="Times New Roman" w:hAnsi="Times New Roman" w:cs="Times New Roman"/>
          <w:sz w:val="24"/>
          <w:szCs w:val="24"/>
        </w:rPr>
        <w:t xml:space="preserve">individuals on the minimal budgets opt to buy more products since their rising prices make other products of higher quality </w:t>
      </w:r>
      <w:r w:rsidR="00B072A5" w:rsidRPr="00156316">
        <w:rPr>
          <w:rFonts w:ascii="Times New Roman" w:hAnsi="Times New Roman" w:cs="Times New Roman"/>
          <w:sz w:val="24"/>
          <w:szCs w:val="24"/>
        </w:rPr>
        <w:lastRenderedPageBreak/>
        <w:t>out of their reach hence becoming challenging to predict the overall consumer response when it comes to interest rates fall. Conversely, the substitution effect continues to afford a particular product even when prices rise or a decline in their incomes, and hence to consumers, it is positive. This does not guarantee that it will always be favorable to consumers</w:t>
      </w:r>
      <w:r w:rsidRPr="00156316">
        <w:rPr>
          <w:rFonts w:ascii="Times New Roman" w:hAnsi="Times New Roman" w:cs="Times New Roman"/>
          <w:sz w:val="24"/>
          <w:szCs w:val="24"/>
        </w:rPr>
        <w:t>, but rather because it can limit product choices, it can also be detrimental.</w:t>
      </w:r>
    </w:p>
    <w:p w:rsidR="00756EC3" w:rsidRDefault="00E27F49" w:rsidP="00156316">
      <w:pPr>
        <w:spacing w:line="480" w:lineRule="auto"/>
        <w:ind w:firstLine="720"/>
        <w:rPr>
          <w:rFonts w:ascii="Times New Roman" w:hAnsi="Times New Roman" w:cs="Times New Roman"/>
          <w:sz w:val="24"/>
          <w:szCs w:val="24"/>
        </w:rPr>
      </w:pPr>
      <w:r w:rsidRPr="00156316">
        <w:rPr>
          <w:rFonts w:ascii="Times New Roman" w:hAnsi="Times New Roman" w:cs="Times New Roman"/>
          <w:sz w:val="24"/>
          <w:szCs w:val="24"/>
        </w:rPr>
        <w:t>In conclusion, the substitution effect</w:t>
      </w:r>
      <w:r w:rsidR="000B11A4" w:rsidRPr="00156316">
        <w:rPr>
          <w:rFonts w:ascii="Times New Roman" w:hAnsi="Times New Roman" w:cs="Times New Roman"/>
          <w:sz w:val="24"/>
          <w:szCs w:val="24"/>
        </w:rPr>
        <w:t xml:space="preserve"> </w:t>
      </w:r>
      <w:r w:rsidRPr="00156316">
        <w:rPr>
          <w:rFonts w:ascii="Times New Roman" w:hAnsi="Times New Roman" w:cs="Times New Roman"/>
          <w:sz w:val="24"/>
          <w:szCs w:val="24"/>
        </w:rPr>
        <w:t xml:space="preserve">holds that when there is an increase in prices or a decrease in incomes, consumers replace goods that are more costly with the less-expensive ones. The substitution effect measures the degree to which the increase in prices influences consumers to shift products in the assumption that the level of income is the same and, therefore, does not imply that it can predict consumers respond </w:t>
      </w:r>
      <w:r w:rsidR="003D5700" w:rsidRPr="00156316">
        <w:rPr>
          <w:rFonts w:ascii="Times New Roman" w:hAnsi="Times New Roman" w:cs="Times New Roman"/>
          <w:sz w:val="24"/>
          <w:szCs w:val="24"/>
        </w:rPr>
        <w:t>to a fall in interest rates.</w:t>
      </w: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rPr>
          <w:rFonts w:ascii="Times New Roman" w:hAnsi="Times New Roman" w:cs="Times New Roman"/>
          <w:sz w:val="24"/>
          <w:szCs w:val="24"/>
        </w:rPr>
      </w:pPr>
    </w:p>
    <w:p w:rsidR="00156316" w:rsidRDefault="00156316" w:rsidP="0015631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50379" w:rsidRDefault="00E50379" w:rsidP="00E5037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w:t>
      </w:r>
      <w:r w:rsidRPr="00156316">
        <w:rPr>
          <w:rFonts w:ascii="Times New Roman" w:hAnsi="Times New Roman" w:cs="Times New Roman"/>
          <w:sz w:val="24"/>
          <w:szCs w:val="24"/>
        </w:rPr>
        <w:t>atey, A. M., Hurt, C. S., Grimshaw, J. M., &amp; Francis, J. J. (2018). Changing behaviour ‘more or less’—do theories of behaviour inform strategies for implementation and de-implementation? A critical interpretive synthesis. </w:t>
      </w:r>
      <w:r w:rsidRPr="00156316">
        <w:rPr>
          <w:rFonts w:ascii="Times New Roman" w:hAnsi="Times New Roman" w:cs="Times New Roman"/>
          <w:i/>
          <w:iCs/>
          <w:sz w:val="24"/>
          <w:szCs w:val="24"/>
        </w:rPr>
        <w:t>Implementation Science</w:t>
      </w:r>
      <w:r w:rsidRPr="00156316">
        <w:rPr>
          <w:rFonts w:ascii="Times New Roman" w:hAnsi="Times New Roman" w:cs="Times New Roman"/>
          <w:sz w:val="24"/>
          <w:szCs w:val="24"/>
        </w:rPr>
        <w:t>, </w:t>
      </w:r>
      <w:r w:rsidRPr="00156316">
        <w:rPr>
          <w:rFonts w:ascii="Times New Roman" w:hAnsi="Times New Roman" w:cs="Times New Roman"/>
          <w:i/>
          <w:iCs/>
          <w:sz w:val="24"/>
          <w:szCs w:val="24"/>
        </w:rPr>
        <w:t>13</w:t>
      </w:r>
      <w:r w:rsidRPr="00156316">
        <w:rPr>
          <w:rFonts w:ascii="Times New Roman" w:hAnsi="Times New Roman" w:cs="Times New Roman"/>
          <w:sz w:val="24"/>
          <w:szCs w:val="24"/>
        </w:rPr>
        <w:t>(1), 134.</w:t>
      </w:r>
    </w:p>
    <w:p w:rsidR="00E50379" w:rsidRPr="00156316" w:rsidRDefault="00E50379" w:rsidP="00E50379">
      <w:pPr>
        <w:spacing w:line="480" w:lineRule="auto"/>
        <w:ind w:left="720" w:hanging="720"/>
        <w:rPr>
          <w:rFonts w:ascii="Times New Roman" w:hAnsi="Times New Roman" w:cs="Times New Roman"/>
          <w:sz w:val="24"/>
          <w:szCs w:val="24"/>
        </w:rPr>
      </w:pPr>
      <w:r w:rsidRPr="00156316">
        <w:rPr>
          <w:rFonts w:ascii="Times New Roman" w:hAnsi="Times New Roman" w:cs="Times New Roman"/>
          <w:sz w:val="24"/>
          <w:szCs w:val="24"/>
        </w:rPr>
        <w:t>Polacsek, M., Moran, A., Thorndike, A. N., Boulos, R., Franckle, R. L., Greene, J. C., ... &amp; Rimm, E. B. (2018). A supermarket double-dollar incentive program increases purchases of fresh fruits and vegetables among low-income families with children: the Healthy Double Study. </w:t>
      </w:r>
      <w:r w:rsidRPr="00156316">
        <w:rPr>
          <w:rFonts w:ascii="Times New Roman" w:hAnsi="Times New Roman" w:cs="Times New Roman"/>
          <w:i/>
          <w:iCs/>
          <w:sz w:val="24"/>
          <w:szCs w:val="24"/>
        </w:rPr>
        <w:t>Journal of nutrition education and behavior</w:t>
      </w:r>
      <w:r w:rsidRPr="00156316">
        <w:rPr>
          <w:rFonts w:ascii="Times New Roman" w:hAnsi="Times New Roman" w:cs="Times New Roman"/>
          <w:sz w:val="24"/>
          <w:szCs w:val="24"/>
        </w:rPr>
        <w:t>, </w:t>
      </w:r>
      <w:r w:rsidRPr="00156316">
        <w:rPr>
          <w:rFonts w:ascii="Times New Roman" w:hAnsi="Times New Roman" w:cs="Times New Roman"/>
          <w:i/>
          <w:iCs/>
          <w:sz w:val="24"/>
          <w:szCs w:val="24"/>
        </w:rPr>
        <w:t>50</w:t>
      </w:r>
      <w:r w:rsidRPr="00156316">
        <w:rPr>
          <w:rFonts w:ascii="Times New Roman" w:hAnsi="Times New Roman" w:cs="Times New Roman"/>
          <w:sz w:val="24"/>
          <w:szCs w:val="24"/>
        </w:rPr>
        <w:t>(3), 217-228.</w:t>
      </w:r>
    </w:p>
    <w:p w:rsidR="00E50379" w:rsidRDefault="00E50379" w:rsidP="00E50379">
      <w:pPr>
        <w:spacing w:line="480" w:lineRule="auto"/>
        <w:ind w:left="720" w:hanging="720"/>
        <w:rPr>
          <w:rFonts w:ascii="Times New Roman" w:hAnsi="Times New Roman" w:cs="Times New Roman"/>
          <w:sz w:val="24"/>
          <w:szCs w:val="24"/>
        </w:rPr>
      </w:pPr>
      <w:r w:rsidRPr="00156316">
        <w:rPr>
          <w:rFonts w:ascii="Times New Roman" w:hAnsi="Times New Roman" w:cs="Times New Roman"/>
          <w:sz w:val="24"/>
          <w:szCs w:val="24"/>
        </w:rPr>
        <w:t>Rodda, S., Booth, N., McKean, J., Chung, A., Park, J., &amp; Ware, P. (2020). Mechanisms for the reduction of caffeine consumption: What, how and why. </w:t>
      </w:r>
      <w:r w:rsidRPr="00156316">
        <w:rPr>
          <w:rFonts w:ascii="Times New Roman" w:hAnsi="Times New Roman" w:cs="Times New Roman"/>
          <w:i/>
          <w:iCs/>
          <w:sz w:val="24"/>
          <w:szCs w:val="24"/>
        </w:rPr>
        <w:t>Drug and Alcohol Dependence</w:t>
      </w:r>
      <w:r w:rsidRPr="00156316">
        <w:rPr>
          <w:rFonts w:ascii="Times New Roman" w:hAnsi="Times New Roman" w:cs="Times New Roman"/>
          <w:sz w:val="24"/>
          <w:szCs w:val="24"/>
        </w:rPr>
        <w:t>, 108024.</w:t>
      </w:r>
    </w:p>
    <w:p w:rsidR="00E50379" w:rsidRDefault="00E50379" w:rsidP="00E50379">
      <w:pPr>
        <w:spacing w:line="480" w:lineRule="auto"/>
        <w:ind w:left="720" w:hanging="720"/>
        <w:rPr>
          <w:rFonts w:ascii="Times New Roman" w:hAnsi="Times New Roman" w:cs="Times New Roman"/>
          <w:sz w:val="24"/>
          <w:szCs w:val="24"/>
        </w:rPr>
      </w:pPr>
      <w:r w:rsidRPr="00156316">
        <w:rPr>
          <w:rFonts w:ascii="Times New Roman" w:hAnsi="Times New Roman" w:cs="Times New Roman"/>
          <w:sz w:val="24"/>
          <w:szCs w:val="24"/>
        </w:rPr>
        <w:t>Watabe, M. (2019). Two-Block Tariffs, Heterogeneous Consumers, and Counterfactual Thinking.</w:t>
      </w:r>
    </w:p>
    <w:sectPr w:rsidR="00E50379" w:rsidSect="001563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F82" w:rsidRDefault="00C04F82" w:rsidP="00156316">
      <w:pPr>
        <w:spacing w:after="0" w:line="240" w:lineRule="auto"/>
      </w:pPr>
      <w:r>
        <w:separator/>
      </w:r>
    </w:p>
  </w:endnote>
  <w:endnote w:type="continuationSeparator" w:id="0">
    <w:p w:rsidR="00C04F82" w:rsidRDefault="00C04F82" w:rsidP="00156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F82" w:rsidRDefault="00C04F82" w:rsidP="00156316">
      <w:pPr>
        <w:spacing w:after="0" w:line="240" w:lineRule="auto"/>
      </w:pPr>
      <w:r>
        <w:separator/>
      </w:r>
    </w:p>
  </w:footnote>
  <w:footnote w:type="continuationSeparator" w:id="0">
    <w:p w:rsidR="00C04F82" w:rsidRDefault="00C04F82" w:rsidP="00156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033550"/>
      <w:docPartObj>
        <w:docPartGallery w:val="Page Numbers (Top of Page)"/>
        <w:docPartUnique/>
      </w:docPartObj>
    </w:sdtPr>
    <w:sdtEndPr>
      <w:rPr>
        <w:noProof/>
      </w:rPr>
    </w:sdtEndPr>
    <w:sdtContent>
      <w:p w:rsidR="00156316" w:rsidRDefault="00156316">
        <w:pPr>
          <w:pStyle w:val="Header"/>
          <w:jc w:val="right"/>
        </w:pPr>
        <w:r>
          <w:fldChar w:fldCharType="begin"/>
        </w:r>
        <w:r>
          <w:instrText xml:space="preserve"> PAGE   \* MERGEFORMAT </w:instrText>
        </w:r>
        <w:r>
          <w:fldChar w:fldCharType="separate"/>
        </w:r>
        <w:r w:rsidR="00DF20B9">
          <w:rPr>
            <w:noProof/>
          </w:rPr>
          <w:t>2</w:t>
        </w:r>
        <w:r>
          <w:rPr>
            <w:noProof/>
          </w:rPr>
          <w:fldChar w:fldCharType="end"/>
        </w:r>
      </w:p>
    </w:sdtContent>
  </w:sdt>
  <w:p w:rsidR="00156316" w:rsidRDefault="00156316">
    <w:pPr>
      <w:pStyle w:val="Header"/>
    </w:pPr>
    <w:r>
      <w:t>CONSUMER’S BEHAVIOR.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316" w:rsidRDefault="00156316">
    <w:pPr>
      <w:pStyle w:val="Header"/>
    </w:pPr>
    <w:r>
      <w:t>Running Head: CONSUMER’S BEHAVIOR.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E21"/>
    <w:rsid w:val="000B11A4"/>
    <w:rsid w:val="0014449C"/>
    <w:rsid w:val="00156316"/>
    <w:rsid w:val="002B2A2F"/>
    <w:rsid w:val="003D5700"/>
    <w:rsid w:val="004644AD"/>
    <w:rsid w:val="00464FB2"/>
    <w:rsid w:val="00500CCF"/>
    <w:rsid w:val="00642252"/>
    <w:rsid w:val="006B6C86"/>
    <w:rsid w:val="00722FFA"/>
    <w:rsid w:val="00756EC3"/>
    <w:rsid w:val="008E2E21"/>
    <w:rsid w:val="0090100D"/>
    <w:rsid w:val="00A5552D"/>
    <w:rsid w:val="00B072A5"/>
    <w:rsid w:val="00B36BBB"/>
    <w:rsid w:val="00BC77D5"/>
    <w:rsid w:val="00BD0C3F"/>
    <w:rsid w:val="00C04F82"/>
    <w:rsid w:val="00CC787D"/>
    <w:rsid w:val="00CD5CBA"/>
    <w:rsid w:val="00D3121F"/>
    <w:rsid w:val="00D803E3"/>
    <w:rsid w:val="00DF20B9"/>
    <w:rsid w:val="00E27F49"/>
    <w:rsid w:val="00E50379"/>
    <w:rsid w:val="00ED4D5E"/>
    <w:rsid w:val="00F1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D229"/>
  <w15:docId w15:val="{07FDFEA0-13E2-40D4-8644-90B333A2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316"/>
  </w:style>
  <w:style w:type="paragraph" w:styleId="Footer">
    <w:name w:val="footer"/>
    <w:basedOn w:val="Normal"/>
    <w:link w:val="FooterChar"/>
    <w:uiPriority w:val="99"/>
    <w:unhideWhenUsed/>
    <w:rsid w:val="00156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2020-08-18T02:46:00Z</dcterms:created>
  <dcterms:modified xsi:type="dcterms:W3CDTF">2020-08-18T02:46:00Z</dcterms:modified>
</cp:coreProperties>
</file>